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7FBC" w14:textId="77777777" w:rsidR="00FF3D8A" w:rsidRPr="00FF3D8A" w:rsidRDefault="00FF3D8A" w:rsidP="00FF3D8A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FF3D8A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Le complexe sous pression</w:t>
      </w:r>
    </w:p>
    <w:p w14:paraId="12225079" w14:textId="77777777" w:rsidR="00FF3D8A" w:rsidRDefault="00FF3D8A" w:rsidP="00FF3D8A">
      <w:pPr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7CA6AF84" w14:textId="4C3B185C" w:rsidR="00287462" w:rsidRDefault="00FF3D8A" w:rsidP="00FF3D8A">
      <w:r w:rsidRPr="00FF3D8A"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FFFFFF"/>
          <w:lang w:eastAsia="fr-BE"/>
          <w14:ligatures w14:val="none"/>
        </w:rPr>
        <w:t>La progression du cuivre est ralentie ce jour par le renforcement du dollar, consécutif à la décision de la Réserve fédérale américaine de repousser à la fin de l’année la baisse de ses taux directeurs. Le métal rouge vaut actuellement 9.866 $/t, une valeur en recul de 0,8% par rapport à l’ouverture. Le métal a repassé la barre des 10.000 $/t hier, après la publication de l’inflation américaine, plus faible qu’escompté, mais l’annonce du report de la baisse des taux de la Fed a mis un terme à sa progression. L’inflation outre-Atlantique, est, de manière inattendue, restée stable en mai. « Nous avons observé un sentiment haussier après la publication des chiffres de l’inflation, mais il a été balayé par les commentaires de la Fed</w:t>
      </w:r>
    </w:p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8A"/>
    <w:rsid w:val="00287462"/>
    <w:rsid w:val="00503244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D7F0"/>
  <w15:chartTrackingRefBased/>
  <w15:docId w15:val="{E0AF728E-DF5B-49CB-85AD-B888FB7C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3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3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3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3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3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3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3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3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3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3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3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3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3D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3D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3D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3D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3D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3D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3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3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3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3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3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3D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3D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3D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D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3D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2024-06-17T06:38:00Z</dcterms:created>
  <dcterms:modified xsi:type="dcterms:W3CDTF">2024-06-17T06:38:00Z</dcterms:modified>
</cp:coreProperties>
</file>